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0"/>
          <w:szCs w:val="30"/>
        </w:rPr>
      </w:pPr>
      <w:r>
        <w:rPr>
          <w:rFonts w:ascii="方正小标宋_GBK" w:hAnsi="方正小标宋_GBK" w:eastAsia="方正小标宋_GBK" w:cs="方正小标宋_GBK"/>
          <w:sz w:val="30"/>
          <w:szCs w:val="30"/>
        </w:rPr>
        <w:t>201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年福建省福州儿童医院公开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编外专技人员</w:t>
      </w:r>
      <w:r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</w:rPr>
        <w:t>人才岗位信息表</w:t>
      </w:r>
    </w:p>
    <w:tbl>
      <w:tblPr>
        <w:tblStyle w:val="2"/>
        <w:tblW w:w="1409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1335"/>
        <w:gridCol w:w="532"/>
        <w:gridCol w:w="917"/>
        <w:gridCol w:w="883"/>
        <w:gridCol w:w="1417"/>
        <w:gridCol w:w="1400"/>
        <w:gridCol w:w="1283"/>
        <w:gridCol w:w="1583"/>
        <w:gridCol w:w="41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6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职  位  条  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9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药剂科静配中心药师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全日制普通院校毕业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学位及以上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药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全日制普通高等医学院校毕业；本科阶段须为全日制普通高等医学院校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药学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专业毕业。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9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放射科技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全日制普通院校毕业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学位及以上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医学影像技术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全日制普通高等医学院校毕业；本科阶段须为全日制普通高等医学院校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医学影像技术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专业毕业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康复科物理治疗师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全日制普通院校毕业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康复治疗技术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全日制普通高等医学院校毕业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病案室病案管理员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全日制普通院校毕业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学位及以上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卫生信息管理或公共事业管理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全日制普通高等医学院校毕业；本科阶段须为全日制普通高等医学院校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卫生信息管理或公共事业管理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专业毕业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；熟练掌握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ICD-10疾病编码和ICD-9-CM3手术编码；有两年及以上工作经验者优先。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04848"/>
    <w:rsid w:val="09867EC2"/>
    <w:rsid w:val="2DDE792C"/>
    <w:rsid w:val="38404848"/>
    <w:rsid w:val="744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2019-03-08T01:36:00Z</dcterms:created>
  <dc:creator>朱陈铖</dc:creator>
  <cp:lastModifiedBy>Administrator</cp:lastModifiedBy>
  <cp:lastPrinted>2019-09-03T09:43:00Z</cp:lastPrinted>
  <dcterms:modified xsi:type="dcterms:W3CDTF">2019-09-03T09:57:37Z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